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56" w:rsidRPr="005931A5" w:rsidRDefault="000C3156" w:rsidP="000C3156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>АКЦІОНЕРНЕ ТОВАРИСТВО «________________»</w:t>
      </w:r>
    </w:p>
    <w:p w:rsidR="000C3156" w:rsidRPr="005931A5" w:rsidRDefault="000C3156" w:rsidP="000C3156">
      <w:pPr>
        <w:spacing w:after="0"/>
        <w:ind w:left="3402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bCs/>
          <w:sz w:val="26"/>
          <w:szCs w:val="26"/>
          <w:lang w:val="uk-UA"/>
        </w:rPr>
        <w:t>ЄДРПОУ: _________________</w:t>
      </w:r>
    </w:p>
    <w:p w:rsidR="000C3156" w:rsidRPr="005931A5" w:rsidRDefault="000C3156" w:rsidP="000C3156">
      <w:pPr>
        <w:spacing w:after="0"/>
        <w:ind w:left="340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Місце державної реєстрації (або місцезнаходження): </w:t>
      </w:r>
    </w:p>
    <w:p w:rsidR="000C3156" w:rsidRPr="005931A5" w:rsidRDefault="000C3156" w:rsidP="000C3156">
      <w:pPr>
        <w:spacing w:after="0"/>
        <w:ind w:left="340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</w:t>
      </w:r>
    </w:p>
    <w:p w:rsidR="000C3156" w:rsidRPr="005931A5" w:rsidRDefault="000C3156" w:rsidP="000C3156">
      <w:pPr>
        <w:spacing w:after="0"/>
        <w:ind w:left="340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931A5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5931A5">
        <w:rPr>
          <w:rFonts w:ascii="Times New Roman" w:hAnsi="Times New Roman" w:cs="Times New Roman"/>
          <w:sz w:val="26"/>
          <w:szCs w:val="26"/>
          <w:lang w:val="uk-UA"/>
        </w:rPr>
        <w:t>.: ________________________</w:t>
      </w:r>
    </w:p>
    <w:p w:rsidR="000C3156" w:rsidRPr="005931A5" w:rsidRDefault="000C3156" w:rsidP="000C3156">
      <w:pPr>
        <w:spacing w:after="0"/>
        <w:ind w:left="340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>E-</w:t>
      </w:r>
      <w:proofErr w:type="spellStart"/>
      <w:r w:rsidRPr="005931A5">
        <w:rPr>
          <w:rFonts w:ascii="Times New Roman" w:hAnsi="Times New Roman" w:cs="Times New Roman"/>
          <w:sz w:val="26"/>
          <w:szCs w:val="26"/>
          <w:lang w:val="uk-UA"/>
        </w:rPr>
        <w:t>mail</w:t>
      </w:r>
      <w:proofErr w:type="spellEnd"/>
      <w:r w:rsidRPr="005931A5">
        <w:rPr>
          <w:rFonts w:ascii="Times New Roman" w:hAnsi="Times New Roman" w:cs="Times New Roman"/>
          <w:sz w:val="26"/>
          <w:szCs w:val="26"/>
          <w:lang w:val="uk-UA"/>
        </w:rPr>
        <w:t>: ______________________</w:t>
      </w:r>
    </w:p>
    <w:p w:rsidR="000C3156" w:rsidRPr="005931A5" w:rsidRDefault="000C3156" w:rsidP="000C3156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</w:p>
    <w:p w:rsidR="000C3156" w:rsidRPr="005931A5" w:rsidRDefault="000C3156" w:rsidP="000C3156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</w:p>
    <w:p w:rsidR="000C3156" w:rsidRPr="005931A5" w:rsidRDefault="000C3156" w:rsidP="000C3156">
      <w:pPr>
        <w:spacing w:after="0"/>
        <w:ind w:left="3402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>Заявник:</w:t>
      </w:r>
      <w:r w:rsidRPr="005931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____________________________________</w:t>
      </w:r>
    </w:p>
    <w:p w:rsidR="000C3156" w:rsidRPr="005931A5" w:rsidRDefault="000C3156" w:rsidP="000C3156">
      <w:pPr>
        <w:spacing w:after="0"/>
        <w:ind w:left="3402"/>
        <w:jc w:val="center"/>
        <w:rPr>
          <w:rFonts w:ascii="Times New Roman" w:hAnsi="Times New Roman" w:cs="Times New Roman"/>
          <w:bCs/>
          <w:sz w:val="18"/>
          <w:szCs w:val="26"/>
          <w:lang w:val="uk-UA"/>
        </w:rPr>
      </w:pPr>
      <w:r w:rsidRPr="005931A5">
        <w:rPr>
          <w:rFonts w:ascii="Times New Roman" w:hAnsi="Times New Roman" w:cs="Times New Roman"/>
          <w:bCs/>
          <w:sz w:val="18"/>
          <w:szCs w:val="26"/>
          <w:lang w:val="uk-UA"/>
        </w:rPr>
        <w:t>(Прізвище, ім’я, по-батькові)</w:t>
      </w:r>
    </w:p>
    <w:p w:rsidR="000C3156" w:rsidRPr="005931A5" w:rsidRDefault="000C3156" w:rsidP="000C3156">
      <w:pPr>
        <w:spacing w:after="0"/>
        <w:ind w:left="3402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bCs/>
          <w:sz w:val="26"/>
          <w:szCs w:val="26"/>
          <w:lang w:val="uk-UA"/>
        </w:rPr>
        <w:t>РНОКПП:_________________</w:t>
      </w:r>
    </w:p>
    <w:p w:rsidR="000C3156" w:rsidRPr="005931A5" w:rsidRDefault="000C3156" w:rsidP="000C3156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Місце державної реєстрації (або проживання): </w:t>
      </w:r>
    </w:p>
    <w:p w:rsidR="000C3156" w:rsidRPr="005931A5" w:rsidRDefault="000C3156" w:rsidP="000C3156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</w:t>
      </w:r>
    </w:p>
    <w:p w:rsidR="000C3156" w:rsidRPr="005931A5" w:rsidRDefault="000C3156" w:rsidP="000C3156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5931A5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5931A5">
        <w:rPr>
          <w:rFonts w:ascii="Times New Roman" w:hAnsi="Times New Roman" w:cs="Times New Roman"/>
          <w:sz w:val="26"/>
          <w:szCs w:val="26"/>
          <w:lang w:val="uk-UA"/>
        </w:rPr>
        <w:t>.: ________________________</w:t>
      </w:r>
    </w:p>
    <w:p w:rsidR="000C3156" w:rsidRPr="005931A5" w:rsidRDefault="000C3156" w:rsidP="000C3156">
      <w:pPr>
        <w:spacing w:after="0"/>
        <w:ind w:left="3402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>E-</w:t>
      </w:r>
      <w:proofErr w:type="spellStart"/>
      <w:r w:rsidRPr="005931A5">
        <w:rPr>
          <w:rFonts w:ascii="Times New Roman" w:hAnsi="Times New Roman" w:cs="Times New Roman"/>
          <w:sz w:val="26"/>
          <w:szCs w:val="26"/>
          <w:lang w:val="uk-UA"/>
        </w:rPr>
        <w:t>mail</w:t>
      </w:r>
      <w:proofErr w:type="spellEnd"/>
      <w:r w:rsidRPr="005931A5">
        <w:rPr>
          <w:rFonts w:ascii="Times New Roman" w:hAnsi="Times New Roman" w:cs="Times New Roman"/>
          <w:sz w:val="26"/>
          <w:szCs w:val="26"/>
          <w:lang w:val="uk-UA"/>
        </w:rPr>
        <w:t>: ______________________</w:t>
      </w:r>
    </w:p>
    <w:p w:rsidR="0041432D" w:rsidRPr="005931A5" w:rsidRDefault="0041432D" w:rsidP="0041432D">
      <w:pPr>
        <w:spacing w:after="0"/>
        <w:ind w:left="4536"/>
        <w:rPr>
          <w:rFonts w:ascii="Times New Roman" w:hAnsi="Times New Roman" w:cs="Times New Roman"/>
          <w:sz w:val="26"/>
          <w:szCs w:val="26"/>
          <w:lang w:val="uk-UA"/>
        </w:rPr>
      </w:pPr>
    </w:p>
    <w:p w:rsidR="0041432D" w:rsidRPr="005931A5" w:rsidRDefault="0041432D" w:rsidP="004143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b/>
          <w:sz w:val="26"/>
          <w:szCs w:val="26"/>
          <w:lang w:val="uk-UA"/>
        </w:rPr>
        <w:t>ЗАЯВА</w:t>
      </w:r>
    </w:p>
    <w:p w:rsidR="0041432D" w:rsidRPr="005931A5" w:rsidRDefault="0041432D" w:rsidP="0041432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1432D" w:rsidRPr="005931A5" w:rsidRDefault="0041432D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0C3156"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Я, ________________________, є споживачем банківських послуг АТ «_______________________» - отримую </w:t>
      </w:r>
      <w:r w:rsidR="00C977DE" w:rsidRPr="005931A5">
        <w:rPr>
          <w:rFonts w:ascii="Times New Roman" w:hAnsi="Times New Roman" w:cs="Times New Roman"/>
          <w:sz w:val="26"/>
          <w:szCs w:val="26"/>
          <w:lang w:val="uk-UA"/>
        </w:rPr>
        <w:t>пенсію</w:t>
      </w:r>
      <w:r w:rsidR="000C3156"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 на карту рахунок ______________________________ АТ «______________»</w:t>
      </w:r>
    </w:p>
    <w:p w:rsidR="0068620F" w:rsidRPr="005931A5" w:rsidRDefault="0068620F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8620F" w:rsidRPr="005931A5" w:rsidRDefault="0068620F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ab/>
      </w:r>
      <w:r w:rsidR="000C3156" w:rsidRPr="005931A5">
        <w:rPr>
          <w:rFonts w:ascii="Times New Roman" w:hAnsi="Times New Roman" w:cs="Times New Roman"/>
          <w:sz w:val="26"/>
          <w:szCs w:val="26"/>
          <w:lang w:val="uk-UA"/>
        </w:rPr>
        <w:t>В місяці ___________ _____ року мені стало відомо про блокування АТ «__________________» належного мені рахунку ______________________________, призначеного для виплати пенсії, на підставі постанови державного виконавця ___________________________ в межах виконавчого провадження</w:t>
      </w:r>
      <w:r w:rsidRPr="005931A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8620F" w:rsidRPr="005931A5" w:rsidRDefault="0068620F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8620F" w:rsidRPr="005931A5" w:rsidRDefault="0068620F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ab/>
        <w:t>З цього приводу вважаю за необхідне зазначити наступне</w:t>
      </w:r>
      <w:r w:rsidR="00786D78" w:rsidRPr="005931A5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86D78" w:rsidRPr="005931A5" w:rsidRDefault="00786D78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t>Відповідно до положень частини першої статті 18 Закону України «Про виконавче провадження» виконавець зобов`язаний вживати передбачених цим Законом заходів щодо примусового виконання рішень, неупереджено, ефективно, своєчасно і в повному обсязі вчиняти виконавчі дії.</w:t>
      </w: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Відповідно до частини третьої статті 52 Закону України «Про виконавче провадження» </w:t>
      </w:r>
      <w:r w:rsidRPr="005931A5">
        <w:rPr>
          <w:rFonts w:ascii="Times New Roman" w:hAnsi="Times New Roman" w:cs="Times New Roman"/>
          <w:b/>
          <w:iCs/>
          <w:sz w:val="26"/>
          <w:szCs w:val="26"/>
          <w:lang w:val="uk-UA"/>
        </w:rPr>
        <w:t>не підлягають арешту в порядку, встановленому цим Законом, кошти, що перебувають на рахунках із спеціальним режимом використання, спеціальних та інших рахунках, звернення стягнення на які заборонено законом.</w:t>
      </w: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Pr="005931A5">
        <w:rPr>
          <w:rFonts w:ascii="Times New Roman" w:hAnsi="Times New Roman" w:cs="Times New Roman"/>
          <w:b/>
          <w:iCs/>
          <w:sz w:val="26"/>
          <w:szCs w:val="26"/>
          <w:u w:val="single"/>
          <w:lang w:val="uk-UA"/>
        </w:rPr>
        <w:t>Банк, інша фінансова установа, центральний орган виконавчої влади, що реалізує державну політику у сфері казначейського обслуговування бюджетних коштів, у разі надходження постанови виконавця про арешт коштів, що знаходяться на таких рахунках, зобов`язані повідомити виконавця про цільове призначення рахунку та повернути постанову виконавця без виконання в частині арешту коштів, що знаходяться на таких рахунках.</w:t>
      </w: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5931A5">
        <w:rPr>
          <w:rFonts w:ascii="Times New Roman" w:hAnsi="Times New Roman" w:cs="Times New Roman"/>
          <w:b/>
          <w:iCs/>
          <w:sz w:val="26"/>
          <w:szCs w:val="26"/>
          <w:u w:val="single"/>
          <w:lang w:val="uk-UA"/>
        </w:rPr>
        <w:lastRenderedPageBreak/>
        <w:t>Відповідно до пункту 1 частини четвертої статі 59 Закону України «Про виконавче провадження» підставами для зняття виконавцем арешту з усього майна (коштів) боржника або його частини є: отримання виконавцем документального підтвердження, що рахунок боржника має спеціальний режим використання та/або звернення стягнення на такі кошти заборонено законом.</w:t>
      </w: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t>Відповідно до статті 68 Закону України «Про виконавче провадження» стягнення на заробітну плату, пенсію, стипендію та інші доходи боржника звертається у разі відсутності в боржника коштів на рахунках у банках чи інших фінансових установах, відсутності чи недостатності майна боржника для покриття в повному обсязі належних до стягнення сум, а також у разі виконання рішень про стягнення періодичних платежів.</w:t>
      </w: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t>Про звернення стягнення на заробітну плату виконавець виносить постанову, яка надсилається для виконання підприємству, установі, організації, фізичній особі, фізичній особі — підприємцю, які виплачують боржнику заробітну плату, пенсію, стипендію та інші доходи.</w:t>
      </w: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t>Згідно з частиною першою статті 69 Закону України «Про виконавче провадження» підприємства, установи, організації, фізичні особи, фізичні особи — підприємці здійснюють відрахування із заробітної плати, пенсії, стипендії та інших доходів боржника і перераховують кошти на відповідний рахунок органу державної виконавчої служби, рахунок приватного виконавця у строк, встановлений для здійснення зазначених виплат боржнику, а в разі якщо такий строк не встановлено, — до десятого числа місяця, наступного за місяцем, за який здійснюється стягнення. Такі підприємства, установи, організації, фізичні особи, фізичні особи — підприємці щомісяця надсилають виконавцю звіт про здійснені відрахування та виплати за формою, встановленою Міністерством юстиції України.</w:t>
      </w: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t>Відповідно до частини другої статті 70 Закону України «Про виконавче провадження» з пенсії може бути відраховано не більш як 50 відсотків її розміру на утримання членів сім`ї (аліменти), на відшкодування збитків від розкрадання майна підприємств, установ і організацій, на відшкодування пенсіонером шкоди, заподіяної каліцтвом або іншим ушкодженням здоров`я, а також у зв`язку із смертю потерпілого, на повернення переплачених сум заробітної плати в передбачених законом випадках.</w:t>
      </w: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t>Відповідно до частини другої статті 50 Закону України «Про загальнообов`язкове державне пенсійне страхування» з пенсії може бути відраховано не більш як 50 відсотків її розміру: на утримання членів сім`ї (аліменти), на відшкодування збитків від розкрадання майна підприємств і організацій, на відшкодування пенсіонером шкоди, заподіяної каліцтвом або іншим ушкодженням здоров`я, а також у зв`язку зі смертю потерпілого, на повернення переплачених сум заробітної плати в передбачених законом випадках. З усіх інших видів стягнень може бути відраховано не більш як 20 відсотків пенсії.</w:t>
      </w: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Статтею 46 Конституцією України встановлено, що громадяни мають право на соціальний захист, що включає право на забезпечення їх у разі повної, часткової або тимчасової втрати працездатності, втрати годувальника, безробіття з незалежних від них обставин, а також у старості та в інших випадках, передбачених законом. </w:t>
      </w: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lastRenderedPageBreak/>
        <w:t>Пенсії, інші види соціальних виплат та допомоги, що є основним джерелом існування, мають забезпечувати рівень життя, не нижчий від прожиткового мінімуму, встановленого законом.</w:t>
      </w: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t>Конституційний Суд України у своєму рішенні № 25рп/2009 від 7 жовтня 2009 року зазначив, що право на соціальний захист віднесено до основоположних прав і свобод. Це право гарантується загальнообов`язковим державним соціальним страхуванням за рахунок страхових внесків громадян, підприємств, установ і організацій, а також бюджетних та інших джерел та забезпечується статтями 7, 22, 46, 58, 68 Конституції України. А саме, кожний громадянин має право на соціальний захист, що включає право на пенсійне забезпечення і всі застраховані особи є рівноправними щодо отримання пенсійних виплат. Конституційні права і свободи громадянина України гарантуються і не можуть бути скасовані.</w:t>
      </w: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t>Норми статті 41 Конституції України встановлюють принцип непорушності права приватної власності.</w:t>
      </w: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b/>
          <w:iCs/>
          <w:sz w:val="26"/>
          <w:szCs w:val="26"/>
          <w:lang w:val="uk-UA"/>
        </w:rPr>
        <w:t>Отже, законодавством України заборонено державному виконавцю накладати арешт на рахунок боржника на який надходять пенсійні виплати є безпідставними, так як чинним законодавством передбачений окремий порядок здійснення таких відрахувань, а тому суд апеляційної інстанції дійшов вірного висновку про те, що арешт пенсійних коштів особи, після вирахування з неї сум аліментів за судовим рішенням, позбавляє її джерел до існування та порушує її право на соціальний захист.</w:t>
      </w: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86D78" w:rsidRPr="005931A5" w:rsidRDefault="00786D78" w:rsidP="00786D78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>Аналогічний правовий висновок міститься і у пос</w:t>
      </w:r>
      <w:r w:rsidR="00E739AD" w:rsidRPr="005931A5">
        <w:rPr>
          <w:rFonts w:ascii="Times New Roman" w:hAnsi="Times New Roman" w:cs="Times New Roman"/>
          <w:sz w:val="26"/>
          <w:szCs w:val="26"/>
          <w:lang w:val="uk-UA"/>
        </w:rPr>
        <w:t>танові Верховного С</w:t>
      </w:r>
      <w:r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уду від </w:t>
      </w:r>
      <w:r w:rsidRPr="005931A5">
        <w:rPr>
          <w:rFonts w:ascii="Times New Roman" w:hAnsi="Times New Roman" w:cs="Times New Roman"/>
          <w:iCs/>
          <w:sz w:val="26"/>
          <w:szCs w:val="26"/>
          <w:lang w:val="uk-UA"/>
        </w:rPr>
        <w:t>03 жовтня 2019 року справа № 642/6675/18</w:t>
      </w:r>
      <w:r w:rsidR="00E739AD" w:rsidRPr="005931A5">
        <w:rPr>
          <w:rFonts w:ascii="Times New Roman" w:hAnsi="Times New Roman" w:cs="Times New Roman"/>
          <w:iCs/>
          <w:sz w:val="26"/>
          <w:szCs w:val="26"/>
          <w:lang w:val="uk-UA"/>
        </w:rPr>
        <w:t>.</w:t>
      </w:r>
    </w:p>
    <w:p w:rsidR="00786D78" w:rsidRPr="005931A5" w:rsidRDefault="00786D78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03882" w:rsidRPr="005931A5" w:rsidRDefault="00786D78" w:rsidP="00F03882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ab/>
        <w:t xml:space="preserve">Таким чином, накладення арешту на мій рахунок </w:t>
      </w:r>
      <w:r w:rsidR="00D32054" w:rsidRPr="005931A5">
        <w:rPr>
          <w:rFonts w:ascii="Times New Roman" w:hAnsi="Times New Roman" w:cs="Times New Roman"/>
          <w:sz w:val="26"/>
          <w:szCs w:val="26"/>
          <w:lang w:val="uk-UA"/>
        </w:rPr>
        <w:t>№______________________________</w:t>
      </w:r>
      <w:r w:rsidR="00F95F77"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1A5">
        <w:rPr>
          <w:rFonts w:ascii="Times New Roman" w:hAnsi="Times New Roman" w:cs="Times New Roman"/>
          <w:sz w:val="26"/>
          <w:szCs w:val="26"/>
          <w:lang w:val="uk-UA"/>
        </w:rPr>
        <w:t>є протиправним виходячи з наведеного вище. В свою чергу, АТ «</w:t>
      </w:r>
      <w:r w:rsidR="00D32054" w:rsidRPr="005931A5">
        <w:rPr>
          <w:rFonts w:ascii="Times New Roman" w:hAnsi="Times New Roman" w:cs="Times New Roman"/>
          <w:sz w:val="26"/>
          <w:szCs w:val="26"/>
          <w:lang w:val="uk-UA"/>
        </w:rPr>
        <w:t>__________________</w:t>
      </w:r>
      <w:r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="00F03882"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в силу положень ч.3 ст. 52 ЗУ «Про виконавче провадження» </w:t>
      </w:r>
      <w:r w:rsidRPr="005931A5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був зобов’язаний</w:t>
      </w:r>
      <w:r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3882" w:rsidRPr="005931A5">
        <w:rPr>
          <w:rFonts w:ascii="Times New Roman" w:hAnsi="Times New Roman" w:cs="Times New Roman"/>
          <w:b/>
          <w:iCs/>
          <w:sz w:val="26"/>
          <w:szCs w:val="26"/>
          <w:u w:val="single"/>
          <w:lang w:val="uk-UA"/>
        </w:rPr>
        <w:t>повідомити виконавця про цільове призначення рахунку та повернути постанову виконавця без виконання в частині арешту коштів, що знаходяться на таких рахунках.</w:t>
      </w:r>
    </w:p>
    <w:p w:rsidR="00786D78" w:rsidRPr="005931A5" w:rsidRDefault="00786D78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03882" w:rsidRPr="005931A5" w:rsidRDefault="00D32054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ab/>
        <w:t>Тим не менш, АТ «__________________»,</w:t>
      </w:r>
      <w:r w:rsidR="00F03882"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 достовірно знаючи, </w:t>
      </w:r>
      <w:r w:rsidR="00F95F77"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рахунок </w:t>
      </w:r>
      <w:r w:rsidRPr="005931A5">
        <w:rPr>
          <w:rFonts w:ascii="Times New Roman" w:hAnsi="Times New Roman" w:cs="Times New Roman"/>
          <w:sz w:val="26"/>
          <w:szCs w:val="26"/>
          <w:lang w:val="uk-UA"/>
        </w:rPr>
        <w:t>№______________________________</w:t>
      </w:r>
      <w:r w:rsidR="00F95F77"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 w:rsidR="00F95F77" w:rsidRPr="005931A5">
        <w:rPr>
          <w:rFonts w:ascii="Times New Roman" w:hAnsi="Times New Roman" w:cs="Times New Roman"/>
          <w:sz w:val="26"/>
          <w:szCs w:val="26"/>
          <w:lang w:val="uk-UA"/>
        </w:rPr>
        <w:t>АТ «</w:t>
      </w:r>
      <w:r w:rsidRPr="005931A5">
        <w:rPr>
          <w:rFonts w:ascii="Times New Roman" w:hAnsi="Times New Roman" w:cs="Times New Roman"/>
          <w:sz w:val="26"/>
          <w:szCs w:val="26"/>
          <w:lang w:val="uk-UA"/>
        </w:rPr>
        <w:t>___________________</w:t>
      </w:r>
      <w:r w:rsidR="00F95F77"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="00F03882" w:rsidRPr="005931A5">
        <w:rPr>
          <w:rFonts w:ascii="Times New Roman" w:hAnsi="Times New Roman" w:cs="Times New Roman"/>
          <w:sz w:val="26"/>
          <w:szCs w:val="26"/>
          <w:lang w:val="uk-UA"/>
        </w:rPr>
        <w:t>призначен</w:t>
      </w:r>
      <w:r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ий </w:t>
      </w:r>
      <w:r w:rsidR="00F03882"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виключно для виплати пенсії </w:t>
      </w:r>
      <w:r w:rsidRPr="005931A5">
        <w:rPr>
          <w:rFonts w:ascii="Times New Roman" w:hAnsi="Times New Roman" w:cs="Times New Roman"/>
          <w:sz w:val="26"/>
          <w:szCs w:val="26"/>
          <w:lang w:val="uk-UA"/>
        </w:rPr>
        <w:t>______________________________</w:t>
      </w:r>
      <w:r w:rsidR="00F03882"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, жодного іншого призначення даний рахунок немає, не виконав свій обов’язок в силу ч.3 ст. 52 ЗУ «Про виконавче провадження», в результаті чого допустив порушення прав </w:t>
      </w:r>
      <w:r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 </w:t>
      </w:r>
      <w:r w:rsidR="00F03882" w:rsidRPr="005931A5">
        <w:rPr>
          <w:rFonts w:ascii="Times New Roman" w:hAnsi="Times New Roman" w:cs="Times New Roman"/>
          <w:sz w:val="26"/>
          <w:szCs w:val="26"/>
          <w:lang w:val="uk-UA"/>
        </w:rPr>
        <w:t>на мирне володіння своїм майном та на пенсійне забезпечення.</w:t>
      </w:r>
    </w:p>
    <w:p w:rsidR="00F03882" w:rsidRPr="005931A5" w:rsidRDefault="00F03882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67D0" w:rsidRPr="005931A5" w:rsidRDefault="009667D0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sz w:val="26"/>
          <w:szCs w:val="26"/>
          <w:lang w:val="uk-UA"/>
        </w:rPr>
        <w:tab/>
        <w:t xml:space="preserve">На підставі вищевикладеного та з </w:t>
      </w:r>
      <w:r w:rsidR="00F03882" w:rsidRPr="005931A5">
        <w:rPr>
          <w:rFonts w:ascii="Times New Roman" w:hAnsi="Times New Roman" w:cs="Times New Roman"/>
          <w:sz w:val="26"/>
          <w:szCs w:val="26"/>
          <w:lang w:val="uk-UA"/>
        </w:rPr>
        <w:t xml:space="preserve">метою недопущення передання даного спору до суду </w:t>
      </w:r>
    </w:p>
    <w:p w:rsidR="009667D0" w:rsidRPr="005931A5" w:rsidRDefault="009667D0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67D0" w:rsidRPr="005931A5" w:rsidRDefault="009667D0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67D0" w:rsidRPr="005931A5" w:rsidRDefault="009667D0" w:rsidP="0068620F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</w:p>
    <w:bookmarkEnd w:id="0"/>
    <w:p w:rsidR="00F03882" w:rsidRPr="005931A5" w:rsidRDefault="009667D0" w:rsidP="009667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b/>
          <w:sz w:val="26"/>
          <w:szCs w:val="26"/>
          <w:lang w:val="uk-UA"/>
        </w:rPr>
        <w:t>ПРОШУ:</w:t>
      </w:r>
    </w:p>
    <w:p w:rsidR="009667D0" w:rsidRPr="005931A5" w:rsidRDefault="009667D0" w:rsidP="00C977DE">
      <w:pPr>
        <w:spacing w:after="0"/>
        <w:ind w:firstLine="99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32054" w:rsidRPr="005931A5" w:rsidRDefault="00D32054" w:rsidP="00C977DE">
      <w:pPr>
        <w:pStyle w:val="a4"/>
        <w:numPr>
          <w:ilvl w:val="0"/>
          <w:numId w:val="1"/>
        </w:numPr>
        <w:spacing w:after="0"/>
        <w:ind w:left="0" w:firstLine="99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У найкоротші строки відповідно до пункту 1 частини четвертої статі 59 Закону України «Про виконавче провадження» надати державному виконавцеві _____________________________ документальне підтвердження того, що рахунок №_____________________________, належний _____________________________, має спеціальний режим використання – призначений виключно для </w:t>
      </w:r>
      <w:r w:rsidR="00C977DE" w:rsidRPr="005931A5">
        <w:rPr>
          <w:rFonts w:ascii="Times New Roman" w:hAnsi="Times New Roman" w:cs="Times New Roman"/>
          <w:b/>
          <w:iCs/>
          <w:sz w:val="26"/>
          <w:szCs w:val="26"/>
          <w:lang w:val="uk-UA"/>
        </w:rPr>
        <w:t>виплати</w:t>
      </w:r>
      <w:r w:rsidRPr="005931A5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 пенсії;</w:t>
      </w:r>
    </w:p>
    <w:p w:rsidR="00C977DE" w:rsidRPr="005931A5" w:rsidRDefault="00C977DE" w:rsidP="00C977DE">
      <w:pPr>
        <w:pStyle w:val="a4"/>
        <w:spacing w:after="0"/>
        <w:ind w:left="0" w:firstLine="99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977DE" w:rsidRPr="005931A5" w:rsidRDefault="00C977DE" w:rsidP="00C977DE">
      <w:pPr>
        <w:pStyle w:val="a4"/>
        <w:numPr>
          <w:ilvl w:val="0"/>
          <w:numId w:val="1"/>
        </w:numPr>
        <w:spacing w:after="0" w:line="276" w:lineRule="auto"/>
        <w:ind w:left="0" w:firstLine="99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931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Повідомити мене рекомендованим листом про результати розгляду даної заяви, в </w:t>
      </w:r>
      <w:proofErr w:type="spellStart"/>
      <w:r w:rsidRPr="005931A5">
        <w:rPr>
          <w:rFonts w:ascii="Times New Roman" w:hAnsi="Times New Roman" w:cs="Times New Roman"/>
          <w:b/>
          <w:sz w:val="26"/>
          <w:szCs w:val="26"/>
          <w:lang w:val="uk-UA"/>
        </w:rPr>
        <w:t>т.ч</w:t>
      </w:r>
      <w:proofErr w:type="spellEnd"/>
      <w:r w:rsidRPr="005931A5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надати докази направленню державному виконавцеві _____________________________  </w:t>
      </w:r>
      <w:r w:rsidRPr="005931A5">
        <w:rPr>
          <w:rFonts w:ascii="Times New Roman" w:hAnsi="Times New Roman" w:cs="Times New Roman"/>
          <w:b/>
          <w:iCs/>
          <w:sz w:val="26"/>
          <w:szCs w:val="26"/>
          <w:lang w:val="uk-UA"/>
        </w:rPr>
        <w:t>документального підтвердження того, що рахунок №_____________________________має спеціальний режим використання – призначений виключно для виплати пенсії.</w:t>
      </w:r>
    </w:p>
    <w:p w:rsidR="009667D0" w:rsidRPr="005931A5" w:rsidRDefault="009667D0" w:rsidP="009667D0">
      <w:pPr>
        <w:pStyle w:val="a4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667D0" w:rsidRPr="005931A5" w:rsidRDefault="009667D0" w:rsidP="009667D0">
      <w:pPr>
        <w:pStyle w:val="a4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E72D1" w:rsidRPr="005931A5" w:rsidRDefault="002E72D1" w:rsidP="009667D0">
      <w:pPr>
        <w:pStyle w:val="a4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977DE" w:rsidRPr="005931A5" w:rsidRDefault="00C977DE" w:rsidP="00C977D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931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«___» ___________ ______ року</w:t>
      </w:r>
      <w:r w:rsidRPr="005931A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>______________ ________________________</w:t>
      </w:r>
    </w:p>
    <w:p w:rsidR="00C977DE" w:rsidRPr="005931A5" w:rsidRDefault="00C977DE" w:rsidP="00C977D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</w:pPr>
      <w:r w:rsidRPr="005931A5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5931A5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5931A5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5931A5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5931A5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5931A5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5931A5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5931A5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5931A5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</w:r>
      <w:r w:rsidRPr="005931A5">
        <w:rPr>
          <w:rFonts w:ascii="Times New Roman" w:eastAsia="Times New Roman" w:hAnsi="Times New Roman" w:cs="Times New Roman"/>
          <w:sz w:val="18"/>
          <w:szCs w:val="26"/>
          <w:lang w:val="uk-UA" w:eastAsia="ru-RU"/>
        </w:rPr>
        <w:tab/>
        <w:t>(Прізвище та ініціали)</w:t>
      </w:r>
    </w:p>
    <w:p w:rsidR="00A146C9" w:rsidRPr="005931A5" w:rsidRDefault="00A146C9" w:rsidP="00C977DE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A146C9" w:rsidRPr="0059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071"/>
    <w:multiLevelType w:val="hybridMultilevel"/>
    <w:tmpl w:val="95127D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5116D44"/>
    <w:multiLevelType w:val="hybridMultilevel"/>
    <w:tmpl w:val="4F5A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A6CA9"/>
    <w:multiLevelType w:val="hybridMultilevel"/>
    <w:tmpl w:val="4F5A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EA"/>
    <w:rsid w:val="00034A6C"/>
    <w:rsid w:val="000805C4"/>
    <w:rsid w:val="00091BAC"/>
    <w:rsid w:val="000C3156"/>
    <w:rsid w:val="002E72D1"/>
    <w:rsid w:val="004106EA"/>
    <w:rsid w:val="0041432D"/>
    <w:rsid w:val="00561285"/>
    <w:rsid w:val="00572886"/>
    <w:rsid w:val="005931A5"/>
    <w:rsid w:val="005B5A8C"/>
    <w:rsid w:val="0068620F"/>
    <w:rsid w:val="00786D78"/>
    <w:rsid w:val="008429B4"/>
    <w:rsid w:val="009667D0"/>
    <w:rsid w:val="00A146C9"/>
    <w:rsid w:val="00C977DE"/>
    <w:rsid w:val="00D32054"/>
    <w:rsid w:val="00E739AD"/>
    <w:rsid w:val="00ED0D16"/>
    <w:rsid w:val="00F03882"/>
    <w:rsid w:val="00F9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4C7A-0083-41B9-A6E6-7DC3EB17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886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572886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96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5426</Words>
  <Characters>3094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Трофимов</dc:creator>
  <cp:keywords/>
  <dc:description/>
  <cp:lastModifiedBy>RePack by Diakov</cp:lastModifiedBy>
  <cp:revision>2</cp:revision>
  <dcterms:created xsi:type="dcterms:W3CDTF">2020-07-29T07:39:00Z</dcterms:created>
  <dcterms:modified xsi:type="dcterms:W3CDTF">2020-07-29T07:39:00Z</dcterms:modified>
</cp:coreProperties>
</file>