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F1" w:rsidRPr="0027662D" w:rsidRDefault="003134F1" w:rsidP="0027662D">
      <w:pPr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_____________________________________________</w:t>
      </w:r>
    </w:p>
    <w:p w:rsidR="003134F1" w:rsidRPr="0027662D" w:rsidRDefault="003134F1" w:rsidP="003134F1">
      <w:pPr>
        <w:spacing w:after="0"/>
        <w:ind w:left="3402"/>
        <w:jc w:val="center"/>
        <w:rPr>
          <w:rFonts w:ascii="Times New Roman" w:hAnsi="Times New Roman" w:cs="Times New Roman"/>
          <w:sz w:val="18"/>
          <w:szCs w:val="26"/>
          <w:lang w:val="uk-UA"/>
        </w:rPr>
      </w:pPr>
      <w:r w:rsidRPr="0027662D">
        <w:rPr>
          <w:rFonts w:ascii="Times New Roman" w:hAnsi="Times New Roman" w:cs="Times New Roman"/>
          <w:sz w:val="18"/>
          <w:szCs w:val="26"/>
          <w:lang w:val="uk-UA"/>
        </w:rPr>
        <w:t>(назва суду апеляційної інстанції)</w:t>
      </w:r>
    </w:p>
    <w:p w:rsidR="003134F1" w:rsidRPr="0027662D" w:rsidRDefault="003134F1" w:rsidP="003134F1">
      <w:pPr>
        <w:spacing w:after="0"/>
        <w:ind w:left="3402"/>
        <w:rPr>
          <w:rFonts w:ascii="Times New Roman" w:hAnsi="Times New Roman" w:cs="Times New Roman"/>
          <w:sz w:val="26"/>
          <w:szCs w:val="26"/>
          <w:lang w:val="uk-UA"/>
        </w:rPr>
      </w:pPr>
    </w:p>
    <w:p w:rsidR="003134F1" w:rsidRPr="0027662D" w:rsidRDefault="003134F1" w:rsidP="003134F1">
      <w:pPr>
        <w:spacing w:after="0"/>
        <w:ind w:left="3402"/>
        <w:rPr>
          <w:rFonts w:ascii="Times New Roman" w:hAnsi="Times New Roman" w:cs="Times New Roman"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справа №</w:t>
      </w:r>
      <w:r w:rsidRPr="0027662D">
        <w:rPr>
          <w:lang w:val="uk-UA"/>
        </w:rPr>
        <w:t xml:space="preserve"> </w:t>
      </w:r>
      <w:hyperlink r:id="rId5" w:tooltip="РќР°С‚РёСЃРЅС–С‚СЊ РґР" w:history="1">
        <w:r w:rsidRPr="0027662D">
          <w:rPr>
            <w:rFonts w:ascii="Times New Roman" w:hAnsi="Times New Roman" w:cs="Times New Roman"/>
            <w:sz w:val="26"/>
            <w:szCs w:val="26"/>
            <w:lang w:val="uk-UA"/>
          </w:rPr>
          <w:t>___________________</w:t>
        </w:r>
      </w:hyperlink>
    </w:p>
    <w:p w:rsidR="003134F1" w:rsidRPr="0027662D" w:rsidRDefault="003134F1" w:rsidP="003134F1">
      <w:pPr>
        <w:spacing w:after="0"/>
        <w:ind w:left="3402"/>
        <w:rPr>
          <w:rFonts w:ascii="Times New Roman" w:hAnsi="Times New Roman" w:cs="Times New Roman"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Головуючий суддя:</w:t>
      </w:r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_______________</w:t>
      </w:r>
    </w:p>
    <w:p w:rsidR="003134F1" w:rsidRPr="0027662D" w:rsidRDefault="003134F1" w:rsidP="003134F1">
      <w:pPr>
        <w:spacing w:after="0"/>
        <w:ind w:left="3402"/>
        <w:rPr>
          <w:rFonts w:ascii="Times New Roman" w:hAnsi="Times New Roman" w:cs="Times New Roman"/>
          <w:sz w:val="26"/>
          <w:szCs w:val="26"/>
          <w:lang w:val="uk-UA"/>
        </w:rPr>
      </w:pPr>
    </w:p>
    <w:p w:rsidR="006E25A1" w:rsidRPr="0027662D" w:rsidRDefault="003134F1" w:rsidP="006E25A1">
      <w:pPr>
        <w:spacing w:after="0"/>
        <w:ind w:left="3402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Позивач:</w:t>
      </w:r>
      <w:r w:rsidR="006E25A1" w:rsidRPr="0027662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6E25A1" w:rsidRPr="0027662D">
        <w:rPr>
          <w:rFonts w:ascii="Times New Roman" w:hAnsi="Times New Roman" w:cs="Times New Roman"/>
          <w:b/>
          <w:bCs/>
          <w:sz w:val="26"/>
          <w:szCs w:val="26"/>
          <w:lang w:val="uk-UA"/>
        </w:rPr>
        <w:t>____________________________________</w:t>
      </w:r>
    </w:p>
    <w:p w:rsidR="006E25A1" w:rsidRPr="0027662D" w:rsidRDefault="006E25A1" w:rsidP="006E25A1">
      <w:pPr>
        <w:spacing w:after="0"/>
        <w:ind w:left="3402"/>
        <w:jc w:val="center"/>
        <w:rPr>
          <w:rFonts w:ascii="Times New Roman" w:hAnsi="Times New Roman" w:cs="Times New Roman"/>
          <w:bCs/>
          <w:sz w:val="18"/>
          <w:szCs w:val="26"/>
          <w:lang w:val="uk-UA"/>
        </w:rPr>
      </w:pPr>
      <w:r w:rsidRPr="0027662D">
        <w:rPr>
          <w:rFonts w:ascii="Times New Roman" w:hAnsi="Times New Roman" w:cs="Times New Roman"/>
          <w:bCs/>
          <w:sz w:val="18"/>
          <w:szCs w:val="26"/>
          <w:lang w:val="uk-UA"/>
        </w:rPr>
        <w:t>(Прізвище, ім’я, по-батькові</w:t>
      </w:r>
      <w:r w:rsidR="00042A99" w:rsidRPr="0027662D">
        <w:rPr>
          <w:rFonts w:ascii="Times New Roman" w:hAnsi="Times New Roman" w:cs="Times New Roman"/>
          <w:bCs/>
          <w:sz w:val="18"/>
          <w:szCs w:val="26"/>
          <w:lang w:val="uk-UA"/>
        </w:rPr>
        <w:t>, назва юридичної особи</w:t>
      </w:r>
      <w:r w:rsidRPr="0027662D">
        <w:rPr>
          <w:rFonts w:ascii="Times New Roman" w:hAnsi="Times New Roman" w:cs="Times New Roman"/>
          <w:bCs/>
          <w:sz w:val="18"/>
          <w:szCs w:val="26"/>
          <w:lang w:val="uk-UA"/>
        </w:rPr>
        <w:t>)</w:t>
      </w:r>
    </w:p>
    <w:p w:rsidR="006E25A1" w:rsidRPr="0027662D" w:rsidRDefault="006E25A1" w:rsidP="006E25A1">
      <w:pPr>
        <w:spacing w:after="0"/>
        <w:ind w:left="3402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b/>
          <w:bCs/>
          <w:sz w:val="26"/>
          <w:szCs w:val="26"/>
          <w:lang w:val="uk-UA"/>
        </w:rPr>
        <w:t>РНОКПП (ЄДРПОУ): _________________</w:t>
      </w:r>
    </w:p>
    <w:p w:rsidR="006E25A1" w:rsidRPr="0027662D" w:rsidRDefault="006E25A1" w:rsidP="006E25A1">
      <w:pPr>
        <w:spacing w:after="0"/>
        <w:ind w:left="340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Місце державної реєстрації (або проживання): </w:t>
      </w:r>
    </w:p>
    <w:p w:rsidR="006E25A1" w:rsidRPr="0027662D" w:rsidRDefault="006E25A1" w:rsidP="006E25A1">
      <w:pPr>
        <w:spacing w:after="0"/>
        <w:ind w:left="340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__________________________________________________________________________________________</w:t>
      </w:r>
    </w:p>
    <w:p w:rsidR="006E25A1" w:rsidRPr="0027662D" w:rsidRDefault="006E25A1" w:rsidP="006E25A1">
      <w:pPr>
        <w:spacing w:after="0"/>
        <w:ind w:left="3402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Тел</w:t>
      </w:r>
      <w:proofErr w:type="spellEnd"/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.: ________________________</w:t>
      </w:r>
    </w:p>
    <w:p w:rsidR="006E25A1" w:rsidRPr="0027662D" w:rsidRDefault="006E25A1" w:rsidP="006E25A1">
      <w:pPr>
        <w:spacing w:after="0"/>
        <w:ind w:left="340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E-</w:t>
      </w:r>
      <w:proofErr w:type="spellStart"/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mail</w:t>
      </w:r>
      <w:proofErr w:type="spellEnd"/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: ______________________</w:t>
      </w:r>
    </w:p>
    <w:p w:rsidR="006E25A1" w:rsidRPr="0027662D" w:rsidRDefault="006E25A1" w:rsidP="003134F1">
      <w:pPr>
        <w:spacing w:after="0"/>
        <w:ind w:left="3402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134F1" w:rsidRPr="0027662D" w:rsidRDefault="003134F1" w:rsidP="003134F1">
      <w:pPr>
        <w:spacing w:after="0"/>
        <w:ind w:left="3402"/>
        <w:rPr>
          <w:rFonts w:ascii="Times New Roman" w:hAnsi="Times New Roman" w:cs="Times New Roman"/>
          <w:sz w:val="26"/>
          <w:szCs w:val="26"/>
          <w:lang w:val="uk-UA"/>
        </w:rPr>
      </w:pPr>
    </w:p>
    <w:p w:rsidR="006E25A1" w:rsidRPr="0027662D" w:rsidRDefault="003134F1" w:rsidP="006E25A1">
      <w:pPr>
        <w:spacing w:after="0"/>
        <w:ind w:left="3402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Відповідач (Апелянт):</w:t>
      </w:r>
      <w:r w:rsidR="006E25A1" w:rsidRPr="0027662D">
        <w:rPr>
          <w:rFonts w:ascii="Times New Roman" w:hAnsi="Times New Roman" w:cs="Times New Roman"/>
          <w:b/>
          <w:bCs/>
          <w:sz w:val="26"/>
          <w:szCs w:val="26"/>
          <w:lang w:val="uk-UA"/>
        </w:rPr>
        <w:t>________________________</w:t>
      </w:r>
    </w:p>
    <w:p w:rsidR="006E25A1" w:rsidRPr="0027662D" w:rsidRDefault="002249CB" w:rsidP="006E25A1">
      <w:pPr>
        <w:spacing w:after="0"/>
        <w:ind w:left="3402"/>
        <w:jc w:val="center"/>
        <w:rPr>
          <w:rFonts w:ascii="Times New Roman" w:hAnsi="Times New Roman" w:cs="Times New Roman"/>
          <w:bCs/>
          <w:sz w:val="18"/>
          <w:szCs w:val="26"/>
          <w:lang w:val="uk-UA"/>
        </w:rPr>
      </w:pPr>
      <w:r w:rsidRPr="0027662D">
        <w:rPr>
          <w:rFonts w:ascii="Times New Roman" w:hAnsi="Times New Roman" w:cs="Times New Roman"/>
          <w:bCs/>
          <w:sz w:val="18"/>
          <w:szCs w:val="26"/>
          <w:lang w:val="uk-UA"/>
        </w:rPr>
        <w:tab/>
      </w:r>
      <w:r w:rsidRPr="0027662D">
        <w:rPr>
          <w:rFonts w:ascii="Times New Roman" w:hAnsi="Times New Roman" w:cs="Times New Roman"/>
          <w:bCs/>
          <w:sz w:val="18"/>
          <w:szCs w:val="26"/>
          <w:lang w:val="uk-UA"/>
        </w:rPr>
        <w:tab/>
      </w:r>
      <w:r w:rsidRPr="0027662D">
        <w:rPr>
          <w:rFonts w:ascii="Times New Roman" w:hAnsi="Times New Roman" w:cs="Times New Roman"/>
          <w:bCs/>
          <w:sz w:val="18"/>
          <w:szCs w:val="26"/>
          <w:lang w:val="uk-UA"/>
        </w:rPr>
        <w:tab/>
      </w:r>
      <w:r w:rsidRPr="0027662D">
        <w:rPr>
          <w:rFonts w:ascii="Times New Roman" w:hAnsi="Times New Roman" w:cs="Times New Roman"/>
          <w:bCs/>
          <w:sz w:val="18"/>
          <w:szCs w:val="26"/>
          <w:lang w:val="uk-UA"/>
        </w:rPr>
        <w:tab/>
      </w:r>
      <w:r w:rsidR="006E25A1" w:rsidRPr="0027662D">
        <w:rPr>
          <w:rFonts w:ascii="Times New Roman" w:hAnsi="Times New Roman" w:cs="Times New Roman"/>
          <w:bCs/>
          <w:sz w:val="18"/>
          <w:szCs w:val="26"/>
          <w:lang w:val="uk-UA"/>
        </w:rPr>
        <w:t>(Прізвище, ім’я, по-батькові)</w:t>
      </w:r>
    </w:p>
    <w:p w:rsidR="006E25A1" w:rsidRPr="0027662D" w:rsidRDefault="006E25A1" w:rsidP="006E25A1">
      <w:pPr>
        <w:spacing w:after="0"/>
        <w:ind w:left="3402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b/>
          <w:bCs/>
          <w:sz w:val="26"/>
          <w:szCs w:val="26"/>
          <w:lang w:val="uk-UA"/>
        </w:rPr>
        <w:t>_____________________________________________</w:t>
      </w:r>
    </w:p>
    <w:p w:rsidR="006E25A1" w:rsidRPr="0027662D" w:rsidRDefault="002249CB" w:rsidP="006E25A1">
      <w:pPr>
        <w:spacing w:after="0"/>
        <w:ind w:left="3402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b/>
          <w:bCs/>
          <w:sz w:val="26"/>
          <w:szCs w:val="26"/>
          <w:lang w:val="uk-UA"/>
        </w:rPr>
        <w:t>ЄДРПОУ</w:t>
      </w:r>
      <w:r w:rsidR="006E25A1" w:rsidRPr="0027662D">
        <w:rPr>
          <w:rFonts w:ascii="Times New Roman" w:hAnsi="Times New Roman" w:cs="Times New Roman"/>
          <w:b/>
          <w:bCs/>
          <w:sz w:val="26"/>
          <w:szCs w:val="26"/>
          <w:lang w:val="uk-UA"/>
        </w:rPr>
        <w:t>: _________________</w:t>
      </w:r>
    </w:p>
    <w:p w:rsidR="006E25A1" w:rsidRPr="0027662D" w:rsidRDefault="006E25A1" w:rsidP="006E25A1">
      <w:pPr>
        <w:spacing w:after="0"/>
        <w:ind w:left="340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Місце державної реєстрації: </w:t>
      </w:r>
    </w:p>
    <w:p w:rsidR="006E25A1" w:rsidRPr="0027662D" w:rsidRDefault="006E25A1" w:rsidP="006E25A1">
      <w:pPr>
        <w:spacing w:after="0"/>
        <w:ind w:left="340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__________________________________________________________________________________________</w:t>
      </w:r>
    </w:p>
    <w:p w:rsidR="006E25A1" w:rsidRPr="0027662D" w:rsidRDefault="006E25A1" w:rsidP="006E25A1">
      <w:pPr>
        <w:spacing w:after="0"/>
        <w:ind w:left="3402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Тел</w:t>
      </w:r>
      <w:proofErr w:type="spellEnd"/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.: ________________________</w:t>
      </w:r>
    </w:p>
    <w:p w:rsidR="006E25A1" w:rsidRPr="0027662D" w:rsidRDefault="006E25A1" w:rsidP="006E25A1">
      <w:pPr>
        <w:spacing w:after="0"/>
        <w:ind w:left="340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E-</w:t>
      </w:r>
      <w:proofErr w:type="spellStart"/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mail</w:t>
      </w:r>
      <w:proofErr w:type="spellEnd"/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: ______________________</w:t>
      </w:r>
    </w:p>
    <w:p w:rsidR="003134F1" w:rsidRPr="0027662D" w:rsidRDefault="003134F1" w:rsidP="006E25A1">
      <w:pPr>
        <w:spacing w:after="0"/>
        <w:ind w:left="3402"/>
        <w:rPr>
          <w:rFonts w:ascii="Times New Roman" w:hAnsi="Times New Roman" w:cs="Times New Roman"/>
          <w:sz w:val="26"/>
          <w:szCs w:val="26"/>
          <w:lang w:val="uk-UA"/>
        </w:rPr>
      </w:pPr>
    </w:p>
    <w:p w:rsidR="003134F1" w:rsidRDefault="003134F1" w:rsidP="003134F1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7662D" w:rsidRPr="0027662D" w:rsidRDefault="0027662D" w:rsidP="003134F1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134F1" w:rsidRPr="0027662D" w:rsidRDefault="003134F1" w:rsidP="003134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КЛОПОТАННЯ</w:t>
      </w:r>
    </w:p>
    <w:p w:rsidR="003134F1" w:rsidRDefault="003134F1" w:rsidP="003134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про відкладення розгляду справи</w:t>
      </w:r>
    </w:p>
    <w:p w:rsidR="0027662D" w:rsidRPr="0027662D" w:rsidRDefault="0027662D" w:rsidP="003134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p w:rsidR="003134F1" w:rsidRPr="0027662D" w:rsidRDefault="003134F1" w:rsidP="003134F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BA0B61" w:rsidRPr="0027662D" w:rsidRDefault="00BA0B6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FB6B42" w:rsidRPr="0027662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27662D">
        <w:rPr>
          <w:rFonts w:ascii="Times New Roman" w:hAnsi="Times New Roman" w:cs="Times New Roman"/>
          <w:sz w:val="26"/>
          <w:szCs w:val="26"/>
          <w:lang w:val="uk-UA"/>
        </w:rPr>
        <w:t>____________</w:t>
      </w:r>
      <w:r w:rsidR="00FB6B42" w:rsidRPr="0027662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27662D">
        <w:rPr>
          <w:rFonts w:ascii="Times New Roman" w:hAnsi="Times New Roman" w:cs="Times New Roman"/>
          <w:sz w:val="26"/>
          <w:szCs w:val="26"/>
          <w:lang w:val="uk-UA"/>
        </w:rPr>
        <w:t>______ об ___:___ год Позивачеві співробітником суду апеляційної інстанції телефоном повідомлено про судове засідання у справі №___________________, яке призначено на ___________________ об __:__.</w:t>
      </w: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sz w:val="26"/>
          <w:szCs w:val="26"/>
          <w:lang w:val="uk-UA"/>
        </w:rPr>
        <w:t>За допомогою онлайн-</w:t>
      </w:r>
      <w:r w:rsidR="002249CB" w:rsidRPr="0027662D">
        <w:rPr>
          <w:rFonts w:ascii="Times New Roman" w:hAnsi="Times New Roman" w:cs="Times New Roman"/>
          <w:sz w:val="26"/>
          <w:szCs w:val="26"/>
          <w:lang w:val="uk-UA"/>
        </w:rPr>
        <w:t>сервісу «Стан</w:t>
      </w:r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розгляду справ» </w:t>
      </w:r>
      <w:r w:rsidR="002249CB" w:rsidRPr="0027662D">
        <w:rPr>
          <w:rFonts w:ascii="Times New Roman" w:hAnsi="Times New Roman" w:cs="Times New Roman"/>
          <w:sz w:val="26"/>
          <w:szCs w:val="26"/>
          <w:lang w:val="uk-UA"/>
        </w:rPr>
        <w:t>Позивачем виявлено, що на ___________________ об __:__ год</w:t>
      </w:r>
      <w:r w:rsidR="00BA0B61"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дійсно</w:t>
      </w:r>
      <w:r w:rsidR="002249CB"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призначено судове засідання в межах апеляційного перегляду справи №___________________.</w:t>
      </w: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Водночас, Позивач доводить до відома суду апеляційної інстанції, що на момент подання даного клопотання до суду Позивачеві не </w:t>
      </w:r>
      <w:proofErr w:type="spellStart"/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вручено</w:t>
      </w:r>
      <w:proofErr w:type="spellEnd"/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ухвалу про відкриття апеляційного провадження по даній справі, а також не </w:t>
      </w:r>
      <w:proofErr w:type="spellStart"/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вручено</w:t>
      </w:r>
      <w:proofErr w:type="spellEnd"/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копію апеляційної скарги Відповідача, не </w:t>
      </w:r>
      <w:proofErr w:type="spellStart"/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вручено</w:t>
      </w:r>
      <w:proofErr w:type="spellEnd"/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повістку.</w:t>
      </w: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sz w:val="26"/>
          <w:szCs w:val="26"/>
          <w:lang w:val="uk-UA"/>
        </w:rPr>
        <w:lastRenderedPageBreak/>
        <w:t>Так, відповідно до ч.1 ст. 301 КАС України суд апеляційної інстанції надсилає копії апеляційної скарги та доданих до неї матеріалів учасникам справи разом з ухвалою про відкриття апеляційного провадження у справі.</w:t>
      </w: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При цьому згідно з ч. 3 ст. 300 КАС України </w:t>
      </w:r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в ухвалі про відкриття апеляційного провадження зазначається строк для подання учасниками справи відзиву на апеляційну скаргу</w:t>
      </w:r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та вирішується питання про витребування матеріалів справи, необхідних для розгляду скарги на судове рішення. Якщо разом з апеляційною скаргою подано заяви чи клопотання, суд в ухвалі про відкриття апеляційного провадження встановлює строк, протягом якого учасники справи мають подати свої заперечення щодо поданих заяв чи клопотань, якщо інше не передбачено цим Кодексом.</w:t>
      </w: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Таким чином, Позивач доводить до відома суду, що проведення судового засідання </w:t>
      </w:r>
      <w:r w:rsidR="00E50CB1"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___________________ об __:__ год </w:t>
      </w:r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являтиме собою грубе порушення засад адміністративного судочинства, а саме: </w:t>
      </w: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134F1" w:rsidRPr="0027662D" w:rsidRDefault="003134F1" w:rsidP="003134F1">
      <w:pPr>
        <w:numPr>
          <w:ilvl w:val="0"/>
          <w:numId w:val="2"/>
        </w:numPr>
        <w:spacing w:after="0"/>
        <w:ind w:left="-426" w:firstLine="71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sz w:val="26"/>
          <w:szCs w:val="26"/>
          <w:lang w:val="uk-UA"/>
        </w:rPr>
        <w:t>рівності усіх учасників судового процесу перед судом (п.2 ч.3 ст. 2 КАС України) – в ч</w:t>
      </w:r>
      <w:r w:rsidR="006B43D9" w:rsidRPr="0027662D">
        <w:rPr>
          <w:rFonts w:ascii="Times New Roman" w:hAnsi="Times New Roman" w:cs="Times New Roman"/>
          <w:sz w:val="26"/>
          <w:szCs w:val="26"/>
          <w:lang w:val="uk-UA"/>
        </w:rPr>
        <w:t>астині того, що в разі проведен</w:t>
      </w:r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ня судового засідання </w:t>
      </w:r>
      <w:r w:rsidR="00E50CB1"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___________________ об __:__ год </w:t>
      </w:r>
      <w:r w:rsidRPr="0027662D">
        <w:rPr>
          <w:rFonts w:ascii="Times New Roman" w:hAnsi="Times New Roman" w:cs="Times New Roman"/>
          <w:sz w:val="26"/>
          <w:szCs w:val="26"/>
          <w:lang w:val="uk-UA"/>
        </w:rPr>
        <w:t>суду апеляційної інстанції з об’єктивних підстав не зможе бути представлена правова позиція Позивача, в зв’язку з чим суд апеляційної інстанції здійснюватиме розгляд справи лише за представлення правової позиції однієї сторони, без надання реальної можливості Позивачеві представити свою правову позицію, заперечити проти доводів Відповідача та хоча б ознайомитися зі змістом апеляційної скарги, яка в порушення КАС України Позивачеві заздалегідь не надіслана;</w:t>
      </w:r>
    </w:p>
    <w:p w:rsidR="003134F1" w:rsidRPr="0027662D" w:rsidRDefault="003134F1" w:rsidP="003134F1">
      <w:pPr>
        <w:spacing w:after="0"/>
        <w:ind w:left="-426"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134F1" w:rsidRPr="0027662D" w:rsidRDefault="003134F1" w:rsidP="003134F1">
      <w:pPr>
        <w:numPr>
          <w:ilvl w:val="0"/>
          <w:numId w:val="2"/>
        </w:numPr>
        <w:spacing w:after="0"/>
        <w:ind w:left="-426" w:firstLine="71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змагальності та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диспозитивності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(п.4 ч.3 ст. 2 КАС України) – в частині права та можливості Позивача висловлювати свої заперечення (п.3 ч. 3 ст. 44 КАС України) на а</w:t>
      </w:r>
      <w:r w:rsidR="006B43D9" w:rsidRPr="0027662D">
        <w:rPr>
          <w:rFonts w:ascii="Times New Roman" w:hAnsi="Times New Roman" w:cs="Times New Roman"/>
          <w:sz w:val="26"/>
          <w:szCs w:val="26"/>
          <w:lang w:val="uk-UA"/>
        </w:rPr>
        <w:t>пеляційну скаргу та бути обізнаним</w:t>
      </w:r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про її зміст, можливості ефективно брати участь у судовому процесі;</w:t>
      </w: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Наведені порушення призводять і до порушення права Позивача на справедливий суд, передбачене ст. 6 Конвенції про захист прав людини і основоположних свобод в частині права на суд, доступ до суду, право на справедливий розгляд. </w:t>
      </w: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sz w:val="26"/>
          <w:szCs w:val="26"/>
          <w:lang w:val="uk-UA"/>
        </w:rPr>
        <w:t>Так, Конвенція призначення для гарантій не теоретичних чи ілюзорних, а практичних та ефективних прав (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Airey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v.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Ireland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(Ейрі проти Ірландії), § 24).</w:t>
      </w: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Сторони у справі мають право надати суду зауваження, які вони вважають важливими у справі. Це право можна вважати ефективним тільки за умови, що зауваження були «заслухані», тобто відповідно розглянуті судом. Тобто, «суд» має проводити належний розгляд поданих документів і доказів, та наведених сторонами аргументів і доказів</w:t>
      </w:r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Kraska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v.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Switzerland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(Краска проти Швейцарії), § 30; (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Van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de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Hurk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v.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Netherlands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(Ван де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Гурк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проти Нідерландів),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Perez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v.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France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Перез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проти Франції) [ВП], § 80). З метою забезпечення ефективності гарантованого цією </w:t>
      </w:r>
      <w:r w:rsidRPr="0027662D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статтею права, органи влади мають демонструвати «належне ставлення»: для заявника, який не має юридичного представника, див.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Kerojärvi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v.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Finland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Кероярві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проти Фінляндії), § 42 і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Fretté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v.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France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Фретте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проти Франції), 49; для заявника, який має представника у суді, див.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Göç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v.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Turkey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Ґоч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проти Туреччини) [ВП], § 57.</w:t>
      </w: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В даній справі Позивач взагалі позбавлена можливості надати суду зауваження та заперечення, оскільки їй не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вручено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копію апеляційної скарги та копію ухвали про відкриття провадження, в зв’язку з чим Позивачеві не відомі аргументи Відповідача, який, в такому випадку, під час судового засідання зможе їх представити безапеляційно (без заперечень Позивача, оскільки остання не обізнана про їх зміст). </w:t>
      </w: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Можливість заявника ефективно представляти себе у суді є складовою права на справедливий суд</w:t>
      </w:r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McVicar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v.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United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Kingdom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(Мак-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Вікар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проти Сполученого Королівства), §§ 48-62;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Steel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and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Morris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v.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United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Kingdom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(Стіл і Морріс проти Сполученого Королівства),§ 61; P., C.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and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S. v.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United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Kingdom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(P., C. та S. проти Сполученого Королівства), § 100);</w:t>
      </w: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В даній справі Позивача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позбавлено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права на справедливий суд в частині права на ефективне представництво себе у суді, оскільки проведення судового засідання без надання стороні в принципі можливості ознайомитися з апеляційною скаргою робить участь такої сторони в засіданні неефективною, адже фактично вона братиме участь в судовому засіданні «наосліп», в той час як правова позиція іншої сторони підготовлена заздалегідь та виважено.</w:t>
      </w: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b/>
          <w:sz w:val="26"/>
          <w:szCs w:val="26"/>
          <w:lang w:val="uk-UA"/>
        </w:rPr>
        <w:t>Іншою складовою права на справедливий суд в частині права на справедливий розгляд справи є рівність сторін, яка передбачає, що кожній стороні має бути надана можливість представляти справу і докази, в умовах, що не є суттєво гіршими за умови опонента:</w:t>
      </w:r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Dombo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Beheer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B.V. v.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Netherlands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Домбо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7662D">
        <w:rPr>
          <w:rFonts w:ascii="Times New Roman" w:hAnsi="Times New Roman" w:cs="Times New Roman"/>
          <w:sz w:val="26"/>
          <w:szCs w:val="26"/>
          <w:lang w:val="uk-UA"/>
        </w:rPr>
        <w:t>Бегеер</w:t>
      </w:r>
      <w:proofErr w:type="spellEnd"/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 Б.В. проти Нідерландів), § 33.</w:t>
      </w: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134F1" w:rsidRPr="0027662D" w:rsidRDefault="003134F1" w:rsidP="003134F1">
      <w:pPr>
        <w:spacing w:after="0"/>
        <w:ind w:left="-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sz w:val="26"/>
          <w:szCs w:val="26"/>
          <w:lang w:val="uk-UA"/>
        </w:rPr>
        <w:t xml:space="preserve">В даній справі, призначаючи судове засідання на </w:t>
      </w:r>
      <w:r w:rsidR="00E50CB1" w:rsidRPr="0027662D">
        <w:rPr>
          <w:rFonts w:ascii="Times New Roman" w:hAnsi="Times New Roman" w:cs="Times New Roman"/>
          <w:sz w:val="26"/>
          <w:szCs w:val="26"/>
          <w:lang w:val="uk-UA"/>
        </w:rPr>
        <w:t>___________________ об __:__ год</w:t>
      </w:r>
      <w:r w:rsidRPr="0027662D">
        <w:rPr>
          <w:rFonts w:ascii="Times New Roman" w:hAnsi="Times New Roman" w:cs="Times New Roman"/>
          <w:sz w:val="26"/>
          <w:szCs w:val="26"/>
          <w:lang w:val="uk-UA"/>
        </w:rPr>
        <w:t>, однак не надіславши Позивачеві ані ухвалу про відкриття провадження, ані копію апеляційної скарги Відповідача, суд апеляційної інстанції може допустити порушення рівності сторін, адже за таких обставин Позивач в принципі не може представити свою правову позицію суду апеляційної інстанції.</w:t>
      </w:r>
    </w:p>
    <w:p w:rsidR="003134F1" w:rsidRDefault="003134F1" w:rsidP="00BA0B61">
      <w:pPr>
        <w:shd w:val="clear" w:color="auto" w:fill="FFFFFF"/>
        <w:spacing w:after="0" w:line="240" w:lineRule="auto"/>
        <w:ind w:left="-425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662D">
        <w:rPr>
          <w:rFonts w:ascii="Times New Roman" w:hAnsi="Times New Roman" w:cs="Times New Roman"/>
          <w:sz w:val="26"/>
          <w:szCs w:val="26"/>
          <w:lang w:val="uk-UA"/>
        </w:rPr>
        <w:t>Відповідно до вищевикладеного та керуючись ст. ст. 2, 44, 301, 321, КАС України</w:t>
      </w:r>
    </w:p>
    <w:p w:rsidR="0027662D" w:rsidRPr="0027662D" w:rsidRDefault="0027662D" w:rsidP="00BA0B61">
      <w:pPr>
        <w:shd w:val="clear" w:color="auto" w:fill="FFFFFF"/>
        <w:spacing w:after="0" w:line="240" w:lineRule="auto"/>
        <w:ind w:left="-425"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3134F1" w:rsidRDefault="003134F1" w:rsidP="00BA0B61">
      <w:pPr>
        <w:shd w:val="clear" w:color="auto" w:fill="FFFFFF"/>
        <w:spacing w:after="0" w:line="240" w:lineRule="auto"/>
        <w:ind w:left="-425" w:firstLine="993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7662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ПРОШУ СУД:</w:t>
      </w:r>
    </w:p>
    <w:p w:rsidR="0027662D" w:rsidRPr="0027662D" w:rsidRDefault="0027662D" w:rsidP="00BA0B61">
      <w:pPr>
        <w:shd w:val="clear" w:color="auto" w:fill="FFFFFF"/>
        <w:spacing w:after="0" w:line="240" w:lineRule="auto"/>
        <w:ind w:left="-425" w:firstLine="993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3134F1" w:rsidRPr="0027662D" w:rsidRDefault="003134F1" w:rsidP="00BA0B61">
      <w:pPr>
        <w:numPr>
          <w:ilvl w:val="0"/>
          <w:numId w:val="1"/>
        </w:numPr>
        <w:shd w:val="clear" w:color="auto" w:fill="FFFFFF"/>
        <w:spacing w:after="0" w:line="240" w:lineRule="auto"/>
        <w:ind w:left="-425" w:firstLine="56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66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Відкласти судове засідання в межах перегляду в апеляційному порядку справи №</w:t>
      </w:r>
      <w:hyperlink r:id="rId6" w:tooltip="РќР°С‚РёСЃРЅС–С‚СЊ РґР" w:history="1">
        <w:r w:rsidR="00E50CB1" w:rsidRPr="0027662D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________________</w:t>
        </w:r>
      </w:hyperlink>
      <w:r w:rsidRPr="002766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</w:t>
      </w:r>
      <w:r w:rsidR="00E50CB1" w:rsidRPr="002766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___________________ об __:__ год </w:t>
      </w:r>
      <w:r w:rsidRPr="002766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 більш пізній строк, однак не менший ніж 10 днів з моменту отримання Позивачем ухвали про відкриття апеляційного провадження щодо апеляційного перегляду порядку справи </w:t>
      </w:r>
      <w:r w:rsidR="00E50CB1" w:rsidRPr="002766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№</w:t>
      </w:r>
      <w:hyperlink r:id="rId7" w:tooltip="РќР°С‚РёСЃРЅС–С‚СЊ РґР" w:history="1">
        <w:r w:rsidR="00E50CB1" w:rsidRPr="0027662D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________________</w:t>
        </w:r>
      </w:hyperlink>
      <w:r w:rsidR="00E50CB1" w:rsidRPr="002766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766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разом з копією апеляційної скарги Відповідача.</w:t>
      </w:r>
    </w:p>
    <w:p w:rsidR="003134F1" w:rsidRPr="0027662D" w:rsidRDefault="003134F1" w:rsidP="00313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66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Надіслати Позивачеві копію ухвали про відкриття апеляційного провадження щодо апеляційного перегляду порядку справи </w:t>
      </w:r>
      <w:r w:rsidR="00E50CB1" w:rsidRPr="002766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№</w:t>
      </w:r>
      <w:hyperlink r:id="rId8" w:tooltip="РќР°С‚РёСЃРЅС–С‚СЊ РґР" w:history="1">
        <w:r w:rsidR="00E50CB1" w:rsidRPr="0027662D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________________</w:t>
        </w:r>
      </w:hyperlink>
      <w:r w:rsidR="00E50CB1" w:rsidRPr="002766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766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із зазначенням строку для подання відзиву на апеляційну скаргу;</w:t>
      </w:r>
    </w:p>
    <w:p w:rsidR="003134F1" w:rsidRPr="0027662D" w:rsidRDefault="003134F1" w:rsidP="00313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66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Надіслати Позивачеві копію апеляц</w:t>
      </w:r>
      <w:r w:rsidR="00E50CB1" w:rsidRPr="002766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ійної скарги Відповідача в межах</w:t>
      </w:r>
      <w:r w:rsidRPr="002766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апеляційного перегляду порядку справи </w:t>
      </w:r>
      <w:r w:rsidR="00E50CB1" w:rsidRPr="002766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№</w:t>
      </w:r>
      <w:hyperlink r:id="rId9" w:tooltip="РќР°С‚РёСЃРЅС–С‚СЊ РґР" w:history="1">
        <w:r w:rsidR="00E50CB1" w:rsidRPr="0027662D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________________</w:t>
        </w:r>
      </w:hyperlink>
      <w:r w:rsidRPr="002766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3134F1" w:rsidRPr="0027662D" w:rsidRDefault="003134F1" w:rsidP="00E50CB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66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«___» </w:t>
      </w:r>
      <w:r w:rsidR="00E50CB1" w:rsidRPr="002766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</w:t>
      </w:r>
      <w:r w:rsidRPr="002766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50CB1" w:rsidRPr="002766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 року</w:t>
      </w:r>
      <w:r w:rsidR="00E50CB1" w:rsidRPr="002766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__</w:t>
      </w:r>
      <w:r w:rsidRPr="002766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____________ </w:t>
      </w:r>
      <w:r w:rsidR="00E50CB1" w:rsidRPr="002766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</w:t>
      </w:r>
    </w:p>
    <w:p w:rsidR="0005550B" w:rsidRPr="0027662D" w:rsidRDefault="00E50CB1" w:rsidP="00E50CB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</w:pPr>
      <w:r w:rsidRPr="0027662D"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  <w:tab/>
      </w:r>
      <w:r w:rsidRPr="0027662D"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  <w:tab/>
      </w:r>
      <w:r w:rsidRPr="0027662D"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  <w:tab/>
      </w:r>
      <w:r w:rsidRPr="0027662D"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  <w:tab/>
      </w:r>
      <w:r w:rsidRPr="0027662D"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  <w:tab/>
      </w:r>
      <w:r w:rsidRPr="0027662D"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  <w:tab/>
      </w:r>
      <w:r w:rsidRPr="0027662D"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  <w:tab/>
      </w:r>
      <w:r w:rsidRPr="0027662D"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  <w:tab/>
      </w:r>
      <w:r w:rsidRPr="0027662D"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  <w:tab/>
      </w:r>
      <w:r w:rsidRPr="0027662D"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  <w:tab/>
        <w:t>(Прізвище та ініціали)</w:t>
      </w:r>
    </w:p>
    <w:sectPr w:rsidR="0005550B" w:rsidRPr="0027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8678C"/>
    <w:multiLevelType w:val="hybridMultilevel"/>
    <w:tmpl w:val="187CB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53732"/>
    <w:multiLevelType w:val="hybridMultilevel"/>
    <w:tmpl w:val="5C942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31"/>
    <w:rsid w:val="00042A99"/>
    <w:rsid w:val="00091BAC"/>
    <w:rsid w:val="000F6096"/>
    <w:rsid w:val="002249CB"/>
    <w:rsid w:val="0027662D"/>
    <w:rsid w:val="003134F1"/>
    <w:rsid w:val="00532DFD"/>
    <w:rsid w:val="006B43D9"/>
    <w:rsid w:val="006E25A1"/>
    <w:rsid w:val="00702629"/>
    <w:rsid w:val="008429B4"/>
    <w:rsid w:val="00883B99"/>
    <w:rsid w:val="00AB1631"/>
    <w:rsid w:val="00BA0B61"/>
    <w:rsid w:val="00C42380"/>
    <w:rsid w:val="00E25553"/>
    <w:rsid w:val="00E50CB1"/>
    <w:rsid w:val="00E67C79"/>
    <w:rsid w:val="00F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4954"/>
  <w15:chartTrackingRefBased/>
  <w15:docId w15:val="{C42C1116-A62D-40D6-8CBF-2FCAE156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CB1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E50C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4924</Words>
  <Characters>2808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Трофимов</dc:creator>
  <cp:keywords/>
  <dc:description/>
  <cp:lastModifiedBy>RePack by Diakov</cp:lastModifiedBy>
  <cp:revision>2</cp:revision>
  <dcterms:created xsi:type="dcterms:W3CDTF">2020-07-29T06:56:00Z</dcterms:created>
  <dcterms:modified xsi:type="dcterms:W3CDTF">2020-07-29T06:56:00Z</dcterms:modified>
</cp:coreProperties>
</file>